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D51" w:rsidRPr="00B35D51" w:rsidRDefault="00B35D51" w:rsidP="00B35D51">
      <w:pPr>
        <w:spacing w:after="0" w:line="276" w:lineRule="auto"/>
        <w:jc w:val="center"/>
        <w:rPr>
          <w:b/>
          <w:sz w:val="24"/>
        </w:rPr>
      </w:pPr>
      <w:r>
        <w:rPr>
          <w:rFonts w:ascii="Times New Roman"/>
          <w:noProof/>
          <w:sz w:val="20"/>
        </w:rPr>
        <w:drawing>
          <wp:inline distT="0" distB="0" distL="0" distR="0" wp14:anchorId="169CD1A0" wp14:editId="192292A9">
            <wp:extent cx="5924285" cy="7612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24285" cy="761238"/>
                    </a:xfrm>
                    <a:prstGeom prst="rect">
                      <a:avLst/>
                    </a:prstGeom>
                  </pic:spPr>
                </pic:pic>
              </a:graphicData>
            </a:graphic>
          </wp:inline>
        </w:drawing>
      </w:r>
      <w:r w:rsidR="00086D47">
        <w:rPr>
          <w:b/>
          <w:sz w:val="24"/>
        </w:rPr>
        <w:t>Service Learning Experience (001</w:t>
      </w:r>
      <w:r w:rsidRPr="00B35D51">
        <w:rPr>
          <w:b/>
          <w:sz w:val="24"/>
        </w:rPr>
        <w:t>)</w:t>
      </w:r>
    </w:p>
    <w:p w:rsidR="00B35D51" w:rsidRPr="00B35D51" w:rsidRDefault="00B35D51" w:rsidP="00B35D51">
      <w:pPr>
        <w:spacing w:after="0" w:line="276" w:lineRule="auto"/>
        <w:jc w:val="center"/>
        <w:rPr>
          <w:b/>
          <w:sz w:val="24"/>
        </w:rPr>
      </w:pPr>
      <w:r w:rsidRPr="00B35D51">
        <w:rPr>
          <w:b/>
          <w:sz w:val="24"/>
        </w:rPr>
        <w:t>Non-Credit Course Guidelines and Template Syllabus</w:t>
      </w:r>
    </w:p>
    <w:p w:rsidR="00B35D51" w:rsidRDefault="00B35D51" w:rsidP="00B35D51">
      <w:pPr>
        <w:spacing w:after="0" w:line="276" w:lineRule="auto"/>
      </w:pPr>
    </w:p>
    <w:p w:rsidR="00B35D51" w:rsidRDefault="00B35D51" w:rsidP="00B35D51">
      <w:pPr>
        <w:spacing w:after="0" w:line="276" w:lineRule="auto"/>
      </w:pPr>
      <w:r>
        <w:t>***UNIT TO MODIFY AS NEEDED TO FIT PROGRAM***</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 xml:space="preserve">Experience Name: </w:t>
      </w:r>
    </w:p>
    <w:p w:rsidR="00B35D51" w:rsidRPr="00B35D51" w:rsidRDefault="00B35D51" w:rsidP="00B35D51">
      <w:pPr>
        <w:spacing w:after="0" w:line="276" w:lineRule="auto"/>
        <w:rPr>
          <w:b/>
        </w:rPr>
      </w:pPr>
      <w:r w:rsidRPr="00B35D51">
        <w:rPr>
          <w:b/>
        </w:rPr>
        <w:t xml:space="preserve">Coordinating College, Department, Unit: </w:t>
      </w:r>
    </w:p>
    <w:p w:rsidR="00B35D51" w:rsidRPr="00B35D51" w:rsidRDefault="00B35D51" w:rsidP="00B35D51">
      <w:pPr>
        <w:spacing w:after="0" w:line="276" w:lineRule="auto"/>
        <w:rPr>
          <w:b/>
        </w:rPr>
      </w:pPr>
      <w:r w:rsidRPr="00B35D51">
        <w:rPr>
          <w:b/>
        </w:rPr>
        <w:t xml:space="preserve">Time Commitment: </w:t>
      </w:r>
    </w:p>
    <w:p w:rsidR="00B35D51" w:rsidRPr="00B35D51" w:rsidRDefault="00B35D51" w:rsidP="00B35D51">
      <w:pPr>
        <w:spacing w:after="0" w:line="276" w:lineRule="auto"/>
        <w:rPr>
          <w:b/>
        </w:rPr>
      </w:pPr>
      <w:r w:rsidRPr="00B35D51">
        <w:rPr>
          <w:b/>
        </w:rPr>
        <w:t xml:space="preserve">Instructor/advisor/mentor name: </w:t>
      </w:r>
    </w:p>
    <w:p w:rsidR="00B35D51" w:rsidRDefault="00B35D51" w:rsidP="00B35D51">
      <w:pPr>
        <w:spacing w:after="0" w:line="276" w:lineRule="auto"/>
      </w:pPr>
      <w:r w:rsidRPr="00B35D51">
        <w:rPr>
          <w:b/>
        </w:rPr>
        <w:t>Instructor/advisor/mentor email:</w:t>
      </w:r>
      <w:r>
        <w:t xml:space="preserve"> Please provide a valid OSU email account. </w:t>
      </w:r>
    </w:p>
    <w:p w:rsidR="00B35D51" w:rsidRPr="00B35D51" w:rsidRDefault="00B35D51" w:rsidP="00B35D51">
      <w:pPr>
        <w:spacing w:after="0" w:line="276" w:lineRule="auto"/>
        <w:rPr>
          <w:b/>
        </w:rPr>
      </w:pPr>
      <w:r w:rsidRPr="00B35D51">
        <w:rPr>
          <w:b/>
        </w:rPr>
        <w:t xml:space="preserve">Instructor/advisor/mentor phone: </w:t>
      </w:r>
    </w:p>
    <w:p w:rsidR="00B35D51" w:rsidRPr="00B35D51" w:rsidRDefault="00B35D51" w:rsidP="00B35D51">
      <w:pPr>
        <w:spacing w:after="0" w:line="276" w:lineRule="auto"/>
        <w:rPr>
          <w:b/>
        </w:rPr>
      </w:pPr>
      <w:r w:rsidRPr="00B35D51">
        <w:rPr>
          <w:b/>
        </w:rPr>
        <w:t xml:space="preserve">Link to Instructor/advisor/mentor bio or website: </w:t>
      </w:r>
    </w:p>
    <w:p w:rsidR="00B35D51" w:rsidRPr="00B35D51" w:rsidRDefault="00B35D51" w:rsidP="00B35D51">
      <w:pPr>
        <w:spacing w:after="0" w:line="276" w:lineRule="auto"/>
        <w:rPr>
          <w:b/>
        </w:rPr>
      </w:pPr>
      <w:r w:rsidRPr="00B35D51">
        <w:rPr>
          <w:b/>
        </w:rPr>
        <w:t>Teaching Assistant name and contact info:</w:t>
      </w:r>
    </w:p>
    <w:p w:rsidR="00B35D51" w:rsidRDefault="00B35D51" w:rsidP="00B35D51">
      <w:pPr>
        <w:spacing w:after="0" w:line="276" w:lineRule="auto"/>
      </w:pPr>
    </w:p>
    <w:p w:rsidR="00B35D51" w:rsidRDefault="00B35D51" w:rsidP="00B35D51">
      <w:pPr>
        <w:spacing w:after="0" w:line="276" w:lineRule="auto"/>
        <w:rPr>
          <w:b/>
        </w:rPr>
      </w:pPr>
      <w:r w:rsidRPr="00B35D51">
        <w:rPr>
          <w:b/>
        </w:rPr>
        <w:t>Course Description</w:t>
      </w:r>
    </w:p>
    <w:p w:rsidR="00086D47" w:rsidRDefault="00086D47" w:rsidP="00B35D51">
      <w:pPr>
        <w:spacing w:after="0" w:line="276" w:lineRule="auto"/>
      </w:pPr>
      <w:r w:rsidRPr="00086D47">
        <w:t>Engage in a service-learning or community engagement experience where skills and knowledge are applied to meet an authentic community-identified need. The experience will integrate meaningful community service with reflection. Through readings and discussions, critically reflect on the service in order to increase understanding of the discipline, gain a broader appreciation of the discipline, enhance a sense of civic responsibility, and strengthen connections with communities.</w:t>
      </w:r>
    </w:p>
    <w:p w:rsidR="00B35D51" w:rsidRDefault="00B35D51" w:rsidP="00B35D51">
      <w:pPr>
        <w:spacing w:after="0" w:line="276" w:lineRule="auto"/>
      </w:pPr>
      <w:r>
        <w:t>***</w:t>
      </w:r>
      <w:r w:rsidRPr="00B35D51">
        <w:t xml:space="preserve"> </w:t>
      </w:r>
      <w:r>
        <w:t xml:space="preserve">UNIT </w:t>
      </w:r>
      <w:r>
        <w:t>CAN</w:t>
      </w:r>
      <w:r>
        <w:t xml:space="preserve"> MODIFY</w:t>
      </w:r>
      <w:r>
        <w:t xml:space="preserve"> FOR THE SYLLABUS BUT THE DESCRIPTION ABOVE WILL APPEAR IN THE CATALOG***</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Student Learning Outcomes</w:t>
      </w:r>
    </w:p>
    <w:p w:rsidR="00E84C95" w:rsidRDefault="00E84C95" w:rsidP="00E84C95">
      <w:pPr>
        <w:spacing w:after="0" w:line="276" w:lineRule="auto"/>
      </w:pPr>
      <w:r>
        <w:t>As a result of this service-learning experience, students will be able to:</w:t>
      </w:r>
    </w:p>
    <w:p w:rsidR="00E84C95" w:rsidRDefault="00E84C95" w:rsidP="00E84C95">
      <w:pPr>
        <w:pStyle w:val="ListParagraph"/>
        <w:numPr>
          <w:ilvl w:val="0"/>
          <w:numId w:val="10"/>
        </w:numPr>
        <w:spacing w:after="0" w:line="276" w:lineRule="auto"/>
      </w:pPr>
      <w:r>
        <w:t>Apply and extend relevant academic course work, disciplinary knowledge, theories, and skills to community contexts</w:t>
      </w:r>
    </w:p>
    <w:p w:rsidR="00E84C95" w:rsidRDefault="00E84C95" w:rsidP="00E84C95">
      <w:pPr>
        <w:pStyle w:val="ListParagraph"/>
        <w:numPr>
          <w:ilvl w:val="0"/>
          <w:numId w:val="10"/>
        </w:numPr>
        <w:spacing w:after="0" w:line="276" w:lineRule="auto"/>
      </w:pPr>
      <w:r>
        <w:t>Summarize multifaceted factors impacting the social issue one is working on</w:t>
      </w:r>
    </w:p>
    <w:p w:rsidR="00E84C95" w:rsidRDefault="00E84C95" w:rsidP="00E84C95">
      <w:pPr>
        <w:pStyle w:val="ListParagraph"/>
        <w:numPr>
          <w:ilvl w:val="0"/>
          <w:numId w:val="10"/>
        </w:numPr>
        <w:spacing w:after="0" w:line="276" w:lineRule="auto"/>
      </w:pPr>
      <w:r>
        <w:t>Utilize critical and systems thinking to analyze how actions and decisions will impact diverse stakeholders</w:t>
      </w:r>
    </w:p>
    <w:p w:rsidR="00E84C95" w:rsidRDefault="00E84C95" w:rsidP="00E84C95">
      <w:pPr>
        <w:pStyle w:val="ListParagraph"/>
        <w:numPr>
          <w:ilvl w:val="0"/>
          <w:numId w:val="10"/>
        </w:numPr>
        <w:spacing w:after="0" w:line="276" w:lineRule="auto"/>
      </w:pPr>
      <w:r>
        <w:t>Summarize the role of different types of civic engagement in creating social change</w:t>
      </w:r>
    </w:p>
    <w:p w:rsidR="00E84C95" w:rsidRDefault="00E84C95" w:rsidP="00E84C95">
      <w:pPr>
        <w:pStyle w:val="ListParagraph"/>
        <w:numPr>
          <w:ilvl w:val="0"/>
          <w:numId w:val="10"/>
        </w:numPr>
        <w:spacing w:after="0" w:line="276" w:lineRule="auto"/>
      </w:pPr>
      <w:r>
        <w:t>Demonstrate knowledge about the various types of civic engagement and possess an understanding of the importance of civic engagement in a democratic society</w:t>
      </w:r>
    </w:p>
    <w:p w:rsidR="00E84C95" w:rsidRDefault="00E84C95" w:rsidP="00E84C95">
      <w:pPr>
        <w:pStyle w:val="ListParagraph"/>
        <w:numPr>
          <w:ilvl w:val="0"/>
          <w:numId w:val="10"/>
        </w:numPr>
        <w:spacing w:after="0" w:line="276" w:lineRule="auto"/>
      </w:pPr>
      <w:r>
        <w:t>Explain and distinguish between charity and justice/change orientation toward service/community engagement (upstream vs. downstream, Band-Aid vs. root cause), specifically in the context of the social issue on which their experience is focused</w:t>
      </w:r>
    </w:p>
    <w:p w:rsidR="00E84C95" w:rsidRDefault="00E84C95" w:rsidP="00E84C95">
      <w:pPr>
        <w:pStyle w:val="ListParagraph"/>
        <w:numPr>
          <w:ilvl w:val="0"/>
          <w:numId w:val="10"/>
        </w:numPr>
        <w:spacing w:after="0" w:line="276" w:lineRule="auto"/>
      </w:pPr>
      <w:r>
        <w:lastRenderedPageBreak/>
        <w:t>Connect the service-learning/community experience to one’s life; self-assess civic values, behaviors, and identity</w:t>
      </w:r>
    </w:p>
    <w:p w:rsidR="00E84C95" w:rsidRDefault="00E84C95" w:rsidP="00E84C95">
      <w:pPr>
        <w:pStyle w:val="ListParagraph"/>
        <w:numPr>
          <w:ilvl w:val="0"/>
          <w:numId w:val="10"/>
        </w:numPr>
        <w:spacing w:after="0" w:line="276" w:lineRule="auto"/>
      </w:pPr>
      <w:r>
        <w:t>Integrate one’s education with a responsibility to working toward addressing social issues</w:t>
      </w:r>
    </w:p>
    <w:p w:rsidR="00CB34D6" w:rsidRDefault="00E84C95" w:rsidP="00E84C95">
      <w:pPr>
        <w:pStyle w:val="ListParagraph"/>
        <w:numPr>
          <w:ilvl w:val="0"/>
          <w:numId w:val="10"/>
        </w:numPr>
        <w:spacing w:after="0" w:line="276" w:lineRule="auto"/>
      </w:pPr>
      <w:bookmarkStart w:id="0" w:name="_GoBack"/>
      <w:bookmarkEnd w:id="0"/>
      <w:r>
        <w:t>Demonstrate a strengthened confidence in their ability to contribute toward creating a healthier, more equitable, and more sustainable community.</w:t>
      </w:r>
    </w:p>
    <w:p w:rsidR="00E84C95" w:rsidRDefault="00E84C95" w:rsidP="00E84C95">
      <w:pPr>
        <w:spacing w:after="0" w:line="276" w:lineRule="auto"/>
      </w:pPr>
    </w:p>
    <w:p w:rsidR="00B35D51" w:rsidRDefault="00B35D51" w:rsidP="00B35D51">
      <w:pPr>
        <w:spacing w:after="0" w:line="276" w:lineRule="auto"/>
        <w:rPr>
          <w:b/>
        </w:rPr>
      </w:pPr>
      <w:r w:rsidRPr="00B35D51">
        <w:rPr>
          <w:b/>
        </w:rPr>
        <w:t>Assessment of Student Learning</w:t>
      </w:r>
    </w:p>
    <w:p w:rsidR="00086D47" w:rsidRDefault="00086D47" w:rsidP="00086D47">
      <w:pPr>
        <w:spacing w:after="0" w:line="276" w:lineRule="auto"/>
      </w:pPr>
      <w:r>
        <w:t>Students are eligible to receive transcript-visible notation for a non-credit undergraduate education abroad experience after satisfying the following requirements, which are to be verified by an OSU faculty member:</w:t>
      </w:r>
    </w:p>
    <w:p w:rsidR="00086D47" w:rsidRDefault="00086D47" w:rsidP="00086D47">
      <w:pPr>
        <w:pStyle w:val="ListParagraph"/>
        <w:numPr>
          <w:ilvl w:val="0"/>
          <w:numId w:val="9"/>
        </w:numPr>
        <w:spacing w:after="0" w:line="276" w:lineRule="auto"/>
      </w:pPr>
      <w:r>
        <w:t>Periodic evaluation of community work from OSU mentor and community partner to provide the opportunity for frequent, ongoing, and constructive feedback on the specific project outcomes and expectations</w:t>
      </w:r>
    </w:p>
    <w:p w:rsidR="00086D47" w:rsidRDefault="00086D47" w:rsidP="00086D47">
      <w:pPr>
        <w:pStyle w:val="ListParagraph"/>
        <w:numPr>
          <w:ilvl w:val="0"/>
          <w:numId w:val="9"/>
        </w:numPr>
        <w:spacing w:after="0" w:line="276" w:lineRule="auto"/>
      </w:pPr>
      <w:r>
        <w:t>Reflection detailing what the students have learned in their programs and community experience (about themselves and the social issue) and how they have applied academic knowledge, skills, and theories in the community project</w:t>
      </w:r>
    </w:p>
    <w:p w:rsidR="003D627A" w:rsidRDefault="00086D47" w:rsidP="00086D47">
      <w:pPr>
        <w:pStyle w:val="ListParagraph"/>
        <w:numPr>
          <w:ilvl w:val="0"/>
          <w:numId w:val="9"/>
        </w:numPr>
        <w:spacing w:after="0" w:line="276" w:lineRule="auto"/>
      </w:pPr>
      <w:r>
        <w:t>Public demonstration of competence and learning through a poster presentation, website, blog, video, or other mechanism</w:t>
      </w:r>
      <w:r>
        <w:t xml:space="preserve"> </w:t>
      </w:r>
      <w:r w:rsidRPr="00086D47">
        <w:rPr>
          <w:sz w:val="14"/>
        </w:rPr>
        <w:t>1</w:t>
      </w:r>
    </w:p>
    <w:p w:rsidR="00086D47" w:rsidRDefault="00086D47" w:rsidP="00086D47">
      <w:pPr>
        <w:spacing w:after="0" w:line="276" w:lineRule="auto"/>
      </w:pPr>
    </w:p>
    <w:p w:rsidR="00002B2C" w:rsidRDefault="00002B2C" w:rsidP="00B35D51">
      <w:pPr>
        <w:spacing w:after="0" w:line="276" w:lineRule="auto"/>
        <w:rPr>
          <w:b/>
        </w:rPr>
      </w:pPr>
      <w:r>
        <w:rPr>
          <w:b/>
        </w:rPr>
        <w:t>Course Content</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6"/>
        <w:gridCol w:w="2615"/>
        <w:gridCol w:w="2798"/>
        <w:gridCol w:w="3082"/>
      </w:tblGrid>
      <w:tr w:rsidR="00002B2C" w:rsidTr="005546FF">
        <w:trPr>
          <w:trHeight w:val="268"/>
        </w:trPr>
        <w:tc>
          <w:tcPr>
            <w:tcW w:w="3711" w:type="dxa"/>
            <w:gridSpan w:val="2"/>
            <w:tcBorders>
              <w:right w:val="single" w:sz="2" w:space="0" w:color="000000"/>
            </w:tcBorders>
          </w:tcPr>
          <w:p w:rsidR="00002B2C" w:rsidRDefault="00002B2C" w:rsidP="005546FF">
            <w:pPr>
              <w:pStyle w:val="TableParagraph"/>
              <w:tabs>
                <w:tab w:val="left" w:pos="1202"/>
              </w:tabs>
              <w:spacing w:before="40" w:line="209" w:lineRule="exact"/>
              <w:ind w:left="117"/>
              <w:rPr>
                <w:sz w:val="19"/>
              </w:rPr>
            </w:pPr>
            <w:r>
              <w:rPr>
                <w:color w:val="030303"/>
                <w:w w:val="105"/>
                <w:sz w:val="19"/>
              </w:rPr>
              <w:t>Week</w:t>
            </w:r>
            <w:r>
              <w:rPr>
                <w:color w:val="030303"/>
                <w:w w:val="105"/>
                <w:sz w:val="19"/>
              </w:rPr>
              <w:tab/>
              <w:t>Topic</w:t>
            </w:r>
          </w:p>
        </w:tc>
        <w:tc>
          <w:tcPr>
            <w:tcW w:w="2798" w:type="dxa"/>
            <w:tcBorders>
              <w:left w:val="single" w:sz="2" w:space="0" w:color="000000"/>
            </w:tcBorders>
          </w:tcPr>
          <w:p w:rsidR="00002B2C" w:rsidRDefault="00002B2C" w:rsidP="005546FF">
            <w:pPr>
              <w:pStyle w:val="TableParagraph"/>
              <w:spacing w:before="40" w:line="209" w:lineRule="exact"/>
              <w:ind w:left="118"/>
              <w:rPr>
                <w:sz w:val="19"/>
              </w:rPr>
            </w:pPr>
            <w:r>
              <w:rPr>
                <w:color w:val="030303"/>
                <w:w w:val="105"/>
                <w:sz w:val="19"/>
              </w:rPr>
              <w:t>Learning Activities</w:t>
            </w:r>
          </w:p>
        </w:tc>
        <w:tc>
          <w:tcPr>
            <w:tcW w:w="3082" w:type="dxa"/>
          </w:tcPr>
          <w:p w:rsidR="00002B2C" w:rsidRDefault="00002B2C" w:rsidP="005546FF">
            <w:pPr>
              <w:pStyle w:val="TableParagraph"/>
              <w:spacing w:before="40" w:line="209" w:lineRule="exact"/>
              <w:ind w:left="115"/>
              <w:rPr>
                <w:sz w:val="19"/>
              </w:rPr>
            </w:pPr>
            <w:r>
              <w:rPr>
                <w:color w:val="030303"/>
                <w:sz w:val="19"/>
              </w:rPr>
              <w:t>Assessment Due</w:t>
            </w:r>
          </w:p>
        </w:tc>
      </w:tr>
      <w:tr w:rsidR="00002B2C" w:rsidTr="005546FF">
        <w:trPr>
          <w:trHeight w:val="268"/>
        </w:trPr>
        <w:tc>
          <w:tcPr>
            <w:tcW w:w="1096" w:type="dxa"/>
          </w:tcPr>
          <w:p w:rsidR="00002B2C" w:rsidRDefault="00002B2C" w:rsidP="005546FF">
            <w:pPr>
              <w:pStyle w:val="TableParagraph"/>
              <w:spacing w:before="22" w:line="226" w:lineRule="exact"/>
              <w:ind w:left="105"/>
              <w:rPr>
                <w:rFonts w:ascii="Times New Roman"/>
                <w:sz w:val="21"/>
              </w:rPr>
            </w:pPr>
            <w:r>
              <w:rPr>
                <w:rFonts w:ascii="Times New Roman"/>
                <w:color w:val="030303"/>
                <w:w w:val="104"/>
                <w:sz w:val="21"/>
              </w:rPr>
              <w:t>1</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22" w:line="226" w:lineRule="exact"/>
              <w:ind w:left="120"/>
              <w:rPr>
                <w:rFonts w:ascii="Times New Roman"/>
                <w:sz w:val="21"/>
              </w:rPr>
            </w:pPr>
            <w:r>
              <w:rPr>
                <w:rFonts w:ascii="Times New Roman"/>
                <w:color w:val="030303"/>
                <w:w w:val="97"/>
                <w:sz w:val="21"/>
              </w:rPr>
              <w:t>2</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1" w:line="207" w:lineRule="exact"/>
              <w:ind w:left="112"/>
              <w:rPr>
                <w:sz w:val="19"/>
              </w:rPr>
            </w:pPr>
            <w:r>
              <w:rPr>
                <w:color w:val="030303"/>
                <w:w w:val="106"/>
                <w:sz w:val="19"/>
              </w:rPr>
              <w:t>3</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70"/>
        </w:trPr>
        <w:tc>
          <w:tcPr>
            <w:tcW w:w="1096" w:type="dxa"/>
          </w:tcPr>
          <w:p w:rsidR="00002B2C" w:rsidRDefault="00002B2C" w:rsidP="005546FF">
            <w:pPr>
              <w:pStyle w:val="TableParagraph"/>
              <w:spacing w:before="46" w:line="205" w:lineRule="exact"/>
              <w:ind w:left="112"/>
              <w:rPr>
                <w:sz w:val="19"/>
              </w:rPr>
            </w:pPr>
            <w:r>
              <w:rPr>
                <w:color w:val="030303"/>
                <w:w w:val="110"/>
                <w:sz w:val="19"/>
              </w:rPr>
              <w:t>4</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53" w:line="195" w:lineRule="exact"/>
              <w:ind w:left="112"/>
              <w:rPr>
                <w:sz w:val="18"/>
              </w:rPr>
            </w:pPr>
            <w:r>
              <w:rPr>
                <w:color w:val="030303"/>
                <w:w w:val="110"/>
                <w:sz w:val="18"/>
              </w:rPr>
              <w:t>5</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4" w:line="204" w:lineRule="exact"/>
              <w:ind w:left="112"/>
              <w:rPr>
                <w:sz w:val="19"/>
              </w:rPr>
            </w:pPr>
            <w:r>
              <w:rPr>
                <w:color w:val="030303"/>
                <w:w w:val="110"/>
                <w:sz w:val="19"/>
              </w:rPr>
              <w:t>6</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4" w:line="204" w:lineRule="exact"/>
              <w:ind w:left="111"/>
              <w:rPr>
                <w:sz w:val="19"/>
              </w:rPr>
            </w:pPr>
            <w:r>
              <w:rPr>
                <w:color w:val="030303"/>
                <w:w w:val="110"/>
                <w:sz w:val="19"/>
              </w:rPr>
              <w:t>7</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5" w:line="203" w:lineRule="exact"/>
              <w:ind w:left="112"/>
              <w:rPr>
                <w:sz w:val="19"/>
              </w:rPr>
            </w:pPr>
            <w:r>
              <w:rPr>
                <w:color w:val="030303"/>
                <w:w w:val="110"/>
                <w:sz w:val="19"/>
              </w:rPr>
              <w:t>8</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5" w:line="203" w:lineRule="exact"/>
              <w:ind w:left="112"/>
              <w:rPr>
                <w:sz w:val="19"/>
              </w:rPr>
            </w:pPr>
            <w:r>
              <w:rPr>
                <w:color w:val="030303"/>
                <w:w w:val="106"/>
                <w:sz w:val="19"/>
              </w:rPr>
              <w:t>9</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5" w:line="203" w:lineRule="exact"/>
              <w:ind w:left="109"/>
              <w:rPr>
                <w:sz w:val="19"/>
              </w:rPr>
            </w:pPr>
            <w:r>
              <w:rPr>
                <w:color w:val="030303"/>
                <w:w w:val="105"/>
                <w:sz w:val="19"/>
              </w:rPr>
              <w:t>10</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r w:rsidR="00002B2C" w:rsidTr="005546FF">
        <w:trPr>
          <w:trHeight w:val="268"/>
        </w:trPr>
        <w:tc>
          <w:tcPr>
            <w:tcW w:w="1096" w:type="dxa"/>
          </w:tcPr>
          <w:p w:rsidR="00002B2C" w:rsidRDefault="00002B2C" w:rsidP="005546FF">
            <w:pPr>
              <w:pStyle w:val="TableParagraph"/>
              <w:spacing w:before="46" w:line="202" w:lineRule="exact"/>
              <w:ind w:left="114"/>
              <w:rPr>
                <w:sz w:val="19"/>
              </w:rPr>
            </w:pPr>
            <w:r>
              <w:rPr>
                <w:color w:val="030303"/>
                <w:sz w:val="19"/>
              </w:rPr>
              <w:t>Finals</w:t>
            </w:r>
          </w:p>
        </w:tc>
        <w:tc>
          <w:tcPr>
            <w:tcW w:w="2615" w:type="dxa"/>
            <w:tcBorders>
              <w:right w:val="single" w:sz="2" w:space="0" w:color="000000"/>
            </w:tcBorders>
          </w:tcPr>
          <w:p w:rsidR="00002B2C" w:rsidRDefault="00002B2C" w:rsidP="005546FF">
            <w:pPr>
              <w:pStyle w:val="TableParagraph"/>
              <w:rPr>
                <w:rFonts w:ascii="Times New Roman"/>
                <w:sz w:val="18"/>
              </w:rPr>
            </w:pPr>
          </w:p>
        </w:tc>
        <w:tc>
          <w:tcPr>
            <w:tcW w:w="2798" w:type="dxa"/>
            <w:tcBorders>
              <w:left w:val="single" w:sz="2" w:space="0" w:color="000000"/>
            </w:tcBorders>
          </w:tcPr>
          <w:p w:rsidR="00002B2C" w:rsidRDefault="00002B2C" w:rsidP="005546FF">
            <w:pPr>
              <w:pStyle w:val="TableParagraph"/>
              <w:rPr>
                <w:rFonts w:ascii="Times New Roman"/>
                <w:sz w:val="18"/>
              </w:rPr>
            </w:pPr>
          </w:p>
        </w:tc>
        <w:tc>
          <w:tcPr>
            <w:tcW w:w="3082" w:type="dxa"/>
          </w:tcPr>
          <w:p w:rsidR="00002B2C" w:rsidRDefault="00002B2C" w:rsidP="005546FF">
            <w:pPr>
              <w:pStyle w:val="TableParagraph"/>
              <w:rPr>
                <w:rFonts w:ascii="Times New Roman"/>
                <w:sz w:val="18"/>
              </w:rPr>
            </w:pPr>
          </w:p>
        </w:tc>
      </w:tr>
    </w:tbl>
    <w:p w:rsidR="00002B2C" w:rsidRDefault="00002B2C" w:rsidP="00B35D51">
      <w:pPr>
        <w:spacing w:after="0" w:line="276" w:lineRule="auto"/>
        <w:rPr>
          <w:b/>
        </w:rPr>
      </w:pPr>
    </w:p>
    <w:p w:rsidR="00B35D51" w:rsidRPr="00B35D51" w:rsidRDefault="00B35D51" w:rsidP="00B35D51">
      <w:pPr>
        <w:spacing w:after="0" w:line="276" w:lineRule="auto"/>
        <w:rPr>
          <w:b/>
        </w:rPr>
      </w:pPr>
      <w:r w:rsidRPr="00B35D51">
        <w:rPr>
          <w:b/>
        </w:rPr>
        <w:t>Statement Regarding Students with Disabilities</w:t>
      </w:r>
    </w:p>
    <w:p w:rsidR="00B35D51" w:rsidRDefault="00B35D51" w:rsidP="00B35D51">
      <w:pPr>
        <w:spacing w:after="0" w:line="276" w:lineRule="auto"/>
      </w:pPr>
      <w:r>
        <w:t xml:space="preserve">Accommodations for students with disabilities are determined and approved by Disability Access Services (DAS): </w:t>
      </w:r>
      <w:hyperlink r:id="rId6" w:history="1">
        <w:r w:rsidR="00B10917" w:rsidRPr="00DE35E3">
          <w:rPr>
            <w:rStyle w:val="Hyperlink"/>
          </w:rPr>
          <w:t>http://ds.oregonstate.edu/</w:t>
        </w:r>
      </w:hyperlink>
      <w:r w:rsidR="00B10917">
        <w:t>.</w:t>
      </w:r>
      <w:r>
        <w:t xml:space="preserve"> If you, as a student, believe you are eligible for accommodations but have not obtained approval please contact DAS immediately at 541-737-4098. DAS notifies students and faculty members of approved academic accommodations and coordinates implementation of those accommodations. While not required, students and faculty members are encouraged to discuss details of the implementation of individual accommodations."</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Expectations for Student Conduct</w:t>
      </w:r>
    </w:p>
    <w:p w:rsidR="00B35D51" w:rsidRDefault="00B35D51" w:rsidP="00B35D51">
      <w:pPr>
        <w:spacing w:after="0" w:line="276" w:lineRule="auto"/>
      </w:pPr>
      <w:r>
        <w:lastRenderedPageBreak/>
        <w:t xml:space="preserve">Student conduct is governed by the university's policies, as explained in the Student Conduct Code: </w:t>
      </w:r>
      <w:hyperlink r:id="rId7" w:history="1">
        <w:r w:rsidR="00B10917" w:rsidRPr="00DE35E3">
          <w:rPr>
            <w:rStyle w:val="Hyperlink"/>
          </w:rPr>
          <w:t>https://studentlife.oregonstate.edu/sites/studentlife.oregonstate.edu/files/code_of_student_conduct_final.pdf</w:t>
        </w:r>
      </w:hyperlink>
      <w:r>
        <w:t>. Students are expected to comply with all regulations pertaining to academic honesty. For further information, contact the office of Student Conduct and Mediation at 541-737-3656.</w:t>
      </w:r>
    </w:p>
    <w:p w:rsidR="00B35D51" w:rsidRDefault="00B35D51" w:rsidP="00B35D51">
      <w:pPr>
        <w:spacing w:after="0" w:line="276" w:lineRule="auto"/>
      </w:pPr>
    </w:p>
    <w:p w:rsidR="00B35D51" w:rsidRPr="00B35D51" w:rsidRDefault="00B35D51" w:rsidP="00B35D51">
      <w:pPr>
        <w:spacing w:after="0" w:line="276" w:lineRule="auto"/>
        <w:rPr>
          <w:b/>
        </w:rPr>
      </w:pPr>
      <w:r w:rsidRPr="00B35D51">
        <w:rPr>
          <w:b/>
        </w:rPr>
        <w:t>Reach Out for Success</w:t>
      </w:r>
    </w:p>
    <w:p w:rsidR="00BA5267" w:rsidRDefault="00B35D51" w:rsidP="00B10917">
      <w:pPr>
        <w:spacing w:after="0" w:line="276" w:lineRule="auto"/>
      </w:pPr>
      <w:r>
        <w:t xml:space="preserve">University students encounter setbacks from time to time. If you encounter difficulties and need assistance, it’s important to reach out. Consider discussing the situation with an instructor or academic advisor. Learn about resources that assist with wellness and academic success at Reach Out: </w:t>
      </w:r>
      <w:hyperlink r:id="rId8" w:history="1">
        <w:r w:rsidR="00B10917" w:rsidRPr="00DE35E3">
          <w:rPr>
            <w:rStyle w:val="Hyperlink"/>
          </w:rPr>
          <w:t>https://counseling.oregonstate.edu/reach-out-success</w:t>
        </w:r>
      </w:hyperlink>
      <w:r w:rsidR="00B10917">
        <w:t>.</w:t>
      </w:r>
      <w:r>
        <w:t xml:space="preserve"> If you are in immediate crisis, please contact the Crisis Text Line by texting OREGON to 741-741 or call the National Suicide Prevention Li</w:t>
      </w:r>
      <w:r w:rsidR="00D82323">
        <w:t>feline at 1-800-273-TALK (8255)</w:t>
      </w:r>
    </w:p>
    <w:p w:rsidR="00086D47" w:rsidRDefault="00086D47" w:rsidP="00B10917">
      <w:pPr>
        <w:spacing w:after="0" w:line="276" w:lineRule="auto"/>
      </w:pPr>
    </w:p>
    <w:p w:rsidR="00086D47" w:rsidRDefault="00086D47" w:rsidP="00B10917">
      <w:pPr>
        <w:spacing w:after="0" w:line="276" w:lineRule="auto"/>
      </w:pPr>
    </w:p>
    <w:p w:rsidR="00086D47" w:rsidRPr="00086D47" w:rsidRDefault="00086D47" w:rsidP="00086D47">
      <w:r w:rsidRPr="00E84C95">
        <w:rPr>
          <w:sz w:val="14"/>
        </w:rPr>
        <w:t>1</w:t>
      </w:r>
      <w:r w:rsidRPr="00086D47">
        <w:t xml:space="preserve"> </w:t>
      </w:r>
      <w:r w:rsidRPr="00E84C95">
        <w:rPr>
          <w:sz w:val="18"/>
        </w:rPr>
        <w:t xml:space="preserve">Use AAC&amp;U’s Civic Engagement Value Rubric at </w:t>
      </w:r>
      <w:hyperlink r:id="rId9" w:history="1">
        <w:r w:rsidR="00E84C95" w:rsidRPr="00DE35E3">
          <w:rPr>
            <w:rStyle w:val="Hyperlink"/>
            <w:sz w:val="18"/>
          </w:rPr>
          <w:t>https://www.aacu.org/value-rubrics</w:t>
        </w:r>
      </w:hyperlink>
      <w:r w:rsidR="00E84C95">
        <w:rPr>
          <w:sz w:val="18"/>
        </w:rPr>
        <w:t xml:space="preserve"> </w:t>
      </w:r>
      <w:r w:rsidRPr="00E84C95">
        <w:rPr>
          <w:sz w:val="18"/>
        </w:rPr>
        <w:t>to evaluate the experience. Additional VALUE rubrics to be considered include Foundations and Skills for Lifelong Learning, Integrative Learning, Intercultural Knowledge and Competence, Creative Thinking, and Critical Thinking.</w:t>
      </w:r>
    </w:p>
    <w:p w:rsidR="00086D47" w:rsidRDefault="00086D47" w:rsidP="00B10917">
      <w:pPr>
        <w:spacing w:after="0" w:line="276" w:lineRule="auto"/>
      </w:pPr>
    </w:p>
    <w:sectPr w:rsidR="00086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D25"/>
    <w:multiLevelType w:val="hybridMultilevel"/>
    <w:tmpl w:val="0816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2788"/>
    <w:multiLevelType w:val="hybridMultilevel"/>
    <w:tmpl w:val="6FFE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A7C26"/>
    <w:multiLevelType w:val="hybridMultilevel"/>
    <w:tmpl w:val="23E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61BC3"/>
    <w:multiLevelType w:val="hybridMultilevel"/>
    <w:tmpl w:val="72D6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06E22"/>
    <w:multiLevelType w:val="hybridMultilevel"/>
    <w:tmpl w:val="DC12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D448B"/>
    <w:multiLevelType w:val="hybridMultilevel"/>
    <w:tmpl w:val="892C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208EA"/>
    <w:multiLevelType w:val="hybridMultilevel"/>
    <w:tmpl w:val="5588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4B0EC1"/>
    <w:multiLevelType w:val="hybridMultilevel"/>
    <w:tmpl w:val="830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134AA"/>
    <w:multiLevelType w:val="hybridMultilevel"/>
    <w:tmpl w:val="43EA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6F1C60"/>
    <w:multiLevelType w:val="hybridMultilevel"/>
    <w:tmpl w:val="A21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5"/>
  </w:num>
  <w:num w:numId="5">
    <w:abstractNumId w:val="3"/>
  </w:num>
  <w:num w:numId="6">
    <w:abstractNumId w:val="7"/>
  </w:num>
  <w:num w:numId="7">
    <w:abstractNumId w:val="2"/>
  </w:num>
  <w:num w:numId="8">
    <w:abstractNumId w:val="0"/>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D51"/>
    <w:rsid w:val="00002B2C"/>
    <w:rsid w:val="00086D47"/>
    <w:rsid w:val="001F63FA"/>
    <w:rsid w:val="003D627A"/>
    <w:rsid w:val="004006F1"/>
    <w:rsid w:val="0053751F"/>
    <w:rsid w:val="00753997"/>
    <w:rsid w:val="00B10917"/>
    <w:rsid w:val="00B35D51"/>
    <w:rsid w:val="00B7699D"/>
    <w:rsid w:val="00BA5267"/>
    <w:rsid w:val="00C12A7A"/>
    <w:rsid w:val="00C3271B"/>
    <w:rsid w:val="00CB34D6"/>
    <w:rsid w:val="00D20641"/>
    <w:rsid w:val="00D82323"/>
    <w:rsid w:val="00E84C95"/>
    <w:rsid w:val="00FB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2553"/>
  <w15:chartTrackingRefBased/>
  <w15:docId w15:val="{1847ABA7-D960-4AAE-94F2-ABAC31A3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D51"/>
    <w:pPr>
      <w:ind w:left="720"/>
      <w:contextualSpacing/>
    </w:pPr>
  </w:style>
  <w:style w:type="character" w:styleId="Hyperlink">
    <w:name w:val="Hyperlink"/>
    <w:basedOn w:val="DefaultParagraphFont"/>
    <w:uiPriority w:val="99"/>
    <w:unhideWhenUsed/>
    <w:rsid w:val="00B10917"/>
    <w:rPr>
      <w:color w:val="0563C1" w:themeColor="hyperlink"/>
      <w:u w:val="single"/>
    </w:rPr>
  </w:style>
  <w:style w:type="paragraph" w:customStyle="1" w:styleId="TableParagraph">
    <w:name w:val="Table Paragraph"/>
    <w:basedOn w:val="Normal"/>
    <w:uiPriority w:val="1"/>
    <w:qFormat/>
    <w:rsid w:val="00002B2C"/>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seling.oregonstate.edu/reach-out-success" TargetMode="External"/><Relationship Id="rId3" Type="http://schemas.openxmlformats.org/officeDocument/2006/relationships/settings" Target="settings.xml"/><Relationship Id="rId7" Type="http://schemas.openxmlformats.org/officeDocument/2006/relationships/hyperlink" Target="https://studentlife.oregonstate.edu/sites/studentlife.oregonstate.edu/files/code_of_student_conduct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oregonstate.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acu.org/value-rub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Sykes, Belinda</dc:creator>
  <cp:keywords/>
  <dc:description/>
  <cp:lastModifiedBy>Sykes, Belinda</cp:lastModifiedBy>
  <cp:revision>3</cp:revision>
  <dcterms:created xsi:type="dcterms:W3CDTF">2019-12-17T18:51:00Z</dcterms:created>
  <dcterms:modified xsi:type="dcterms:W3CDTF">2019-12-17T18:54:00Z</dcterms:modified>
</cp:coreProperties>
</file>